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F65B" w14:textId="731C9E45" w:rsidR="00EF6A53" w:rsidRPr="00FA1A93" w:rsidRDefault="00FA1A93" w:rsidP="00FA1A93">
      <w:pPr>
        <w:rPr>
          <w:lang w:val="es-DO"/>
        </w:rPr>
      </w:pPr>
      <w:r>
        <w:rPr>
          <w:lang w:val="es-DO"/>
        </w:rPr>
        <w:t>No hay relación de consulta pública enero 2023</w:t>
      </w:r>
    </w:p>
    <w:sectPr w:rsidR="00EF6A53" w:rsidRPr="00FA1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D2"/>
    <w:rsid w:val="00414B05"/>
    <w:rsid w:val="00517D1F"/>
    <w:rsid w:val="00A507D2"/>
    <w:rsid w:val="00EF6A53"/>
    <w:rsid w:val="00FA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43C00"/>
  <w15:chartTrackingRefBased/>
  <w15:docId w15:val="{3E0E1899-DBDF-4549-802D-F4D85494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2023-02-14T18:12:00Z</dcterms:created>
  <dcterms:modified xsi:type="dcterms:W3CDTF">2023-02-14T18:12:00Z</dcterms:modified>
</cp:coreProperties>
</file>